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0B3B" w14:textId="77777777" w:rsidR="00A90768" w:rsidRPr="000A79B6" w:rsidRDefault="00A90768" w:rsidP="00A90768">
      <w:pPr>
        <w:spacing w:after="0"/>
        <w:jc w:val="center"/>
        <w:rPr>
          <w:rFonts w:ascii="Bookman Old Style" w:hAnsi="Bookman Old Style" w:cs="Arial"/>
          <w:sz w:val="24"/>
          <w:szCs w:val="24"/>
        </w:rPr>
      </w:pPr>
      <w:r w:rsidRPr="0099532D">
        <w:rPr>
          <w:rFonts w:ascii="Times New Roman" w:eastAsia="SimSun" w:hAnsi="Times New Roman"/>
          <w:b/>
          <w:bCs/>
          <w:color w:val="000000"/>
          <w:kern w:val="3"/>
          <w:lang w:eastAsia="zh-CN" w:bidi="hi-IN"/>
        </w:rPr>
        <w:t>KLAUZULA INFORMACYJNA</w:t>
      </w:r>
    </w:p>
    <w:p w14:paraId="7DA389D5" w14:textId="77777777" w:rsidR="00A90768" w:rsidRPr="0099532D" w:rsidRDefault="00A90768" w:rsidP="00A90768">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14:paraId="05EBA173" w14:textId="77777777" w:rsidR="00A90768" w:rsidRPr="0099532D" w:rsidRDefault="00A90768" w:rsidP="00A90768">
      <w:pPr>
        <w:suppressAutoHyphens/>
        <w:autoSpaceDN w:val="0"/>
        <w:spacing w:after="0" w:line="240" w:lineRule="auto"/>
        <w:jc w:val="center"/>
        <w:textAlignment w:val="baseline"/>
        <w:rPr>
          <w:rFonts w:ascii="Times New Roman" w:eastAsia="SimSun" w:hAnsi="Times New Roman"/>
          <w:kern w:val="3"/>
          <w:sz w:val="24"/>
          <w:szCs w:val="24"/>
          <w:lang w:eastAsia="zh-CN" w:bidi="hi-IN"/>
        </w:rPr>
      </w:pPr>
      <w:r w:rsidRPr="0099532D">
        <w:rPr>
          <w:rFonts w:ascii="Times New Roman" w:eastAsia="SimSun" w:hAnsi="Times New Roman"/>
          <w:color w:val="000000"/>
          <w:kern w:val="3"/>
          <w:lang w:eastAsia="zh-CN" w:bidi="hi-IN"/>
        </w:rPr>
        <w:t>dla organizacji pozarządowych i innych podmiotów w rozumieniu art. 3 ust.3 ustawy o działalności</w:t>
      </w:r>
      <w:r>
        <w:rPr>
          <w:rFonts w:ascii="Times New Roman" w:eastAsia="SimSun" w:hAnsi="Times New Roman"/>
          <w:color w:val="000000"/>
          <w:kern w:val="3"/>
          <w:lang w:eastAsia="zh-CN" w:bidi="hi-IN"/>
        </w:rPr>
        <w:t xml:space="preserve"> </w:t>
      </w:r>
      <w:r w:rsidRPr="0099532D">
        <w:rPr>
          <w:rFonts w:ascii="Times New Roman" w:eastAsia="SimSun" w:hAnsi="Times New Roman"/>
          <w:color w:val="000000"/>
          <w:kern w:val="3"/>
          <w:lang w:eastAsia="zh-CN" w:bidi="hi-IN"/>
        </w:rPr>
        <w:t>pożytku publicznego i o w</w:t>
      </w:r>
      <w:r>
        <w:rPr>
          <w:rFonts w:ascii="Times New Roman" w:eastAsia="SimSun" w:hAnsi="Times New Roman"/>
          <w:color w:val="000000"/>
          <w:kern w:val="3"/>
          <w:lang w:eastAsia="zh-CN" w:bidi="hi-IN"/>
        </w:rPr>
        <w:t xml:space="preserve">olontariacie </w:t>
      </w:r>
      <w:proofErr w:type="gramStart"/>
      <w:r w:rsidRPr="007E3F72">
        <w:rPr>
          <w:rFonts w:ascii="Times New Roman" w:eastAsia="SimSun" w:hAnsi="Times New Roman"/>
          <w:color w:val="000000"/>
          <w:kern w:val="3"/>
          <w:lang w:eastAsia="zh-CN" w:bidi="hi-IN"/>
        </w:rPr>
        <w:t>( t.</w:t>
      </w:r>
      <w:proofErr w:type="gramEnd"/>
      <w:r w:rsidRPr="007E3F72">
        <w:rPr>
          <w:rFonts w:ascii="Times New Roman" w:eastAsia="SimSun" w:hAnsi="Times New Roman"/>
          <w:color w:val="000000"/>
          <w:kern w:val="3"/>
          <w:lang w:eastAsia="zh-CN" w:bidi="hi-IN"/>
        </w:rPr>
        <w:t xml:space="preserve"> j. Dz. U. z 2025 poz. 1338 z </w:t>
      </w:r>
      <w:proofErr w:type="spellStart"/>
      <w:r w:rsidRPr="007E3F72">
        <w:rPr>
          <w:rFonts w:ascii="Times New Roman" w:eastAsia="SimSun" w:hAnsi="Times New Roman"/>
          <w:color w:val="000000"/>
          <w:kern w:val="3"/>
          <w:lang w:eastAsia="zh-CN" w:bidi="hi-IN"/>
        </w:rPr>
        <w:t>późń</w:t>
      </w:r>
      <w:proofErr w:type="spellEnd"/>
      <w:r w:rsidRPr="007E3F72">
        <w:rPr>
          <w:rFonts w:ascii="Times New Roman" w:eastAsia="SimSun" w:hAnsi="Times New Roman"/>
          <w:color w:val="000000"/>
          <w:kern w:val="3"/>
          <w:lang w:eastAsia="zh-CN" w:bidi="hi-IN"/>
        </w:rPr>
        <w:t>. zm.</w:t>
      </w:r>
      <w:r w:rsidRPr="0099532D">
        <w:rPr>
          <w:rFonts w:ascii="Times New Roman" w:eastAsia="SimSun" w:hAnsi="Times New Roman"/>
          <w:color w:val="000000"/>
          <w:kern w:val="3"/>
          <w:lang w:eastAsia="zh-CN" w:bidi="hi-IN"/>
        </w:rPr>
        <w:t>)</w:t>
      </w:r>
      <w:r>
        <w:rPr>
          <w:rFonts w:ascii="Times New Roman" w:eastAsia="SimSun" w:hAnsi="Times New Roman"/>
          <w:color w:val="000000"/>
          <w:kern w:val="3"/>
          <w:lang w:eastAsia="zh-CN" w:bidi="hi-IN"/>
        </w:rPr>
        <w:t>.</w:t>
      </w:r>
    </w:p>
    <w:p w14:paraId="3B9D7000" w14:textId="77777777" w:rsidR="00A90768" w:rsidRPr="0099532D" w:rsidRDefault="00A90768" w:rsidP="00A90768">
      <w:p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 xml:space="preserve">Na podstawie z art. 13 ust. 1 i 2 Rozporządzenie Parlamentu Europejskiego i Rady (UE) 2016/679 </w:t>
      </w:r>
      <w:r>
        <w:rPr>
          <w:rFonts w:ascii="Times New Roman" w:eastAsia="SimSun" w:hAnsi="Times New Roman"/>
          <w:kern w:val="3"/>
          <w:lang w:eastAsia="zh-CN" w:bidi="hi-IN"/>
        </w:rPr>
        <w:t xml:space="preserve">                         </w:t>
      </w:r>
      <w:r w:rsidRPr="0099532D">
        <w:rPr>
          <w:rFonts w:ascii="Times New Roman" w:eastAsia="SimSun" w:hAnsi="Times New Roman"/>
          <w:kern w:val="3"/>
          <w:lang w:eastAsia="zh-CN" w:bidi="hi-IN"/>
        </w:rPr>
        <w:t>z dnia 27 kwietnia 2016 r. w sprawie ochrony osób fizycznych w związku z przetwarzaniem danych osobowych i w sprawie swobodnego przepływu takich danych oraz uchylenia dyrektywy 95/46/WE (ogólne rozporządzenie o ochronie danych),</w:t>
      </w:r>
    </w:p>
    <w:p w14:paraId="21DE84D2" w14:textId="77777777" w:rsidR="00A90768" w:rsidRPr="0099532D" w:rsidRDefault="00A90768" w:rsidP="00A90768">
      <w:p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informuje, że:</w:t>
      </w:r>
    </w:p>
    <w:p w14:paraId="709A3771" w14:textId="77777777" w:rsidR="00A90768" w:rsidRDefault="00A90768" w:rsidP="00A90768">
      <w:pPr>
        <w:autoSpaceDE w:val="0"/>
        <w:autoSpaceDN w:val="0"/>
        <w:adjustRightInd w:val="0"/>
        <w:spacing w:after="0"/>
        <w:rPr>
          <w:rFonts w:ascii="Times New Roman" w:eastAsia="Times New Roman" w:hAnsi="Times New Roman"/>
          <w:sz w:val="24"/>
          <w:szCs w:val="24"/>
          <w:lang w:eastAsia="pl-PL"/>
        </w:rPr>
      </w:pPr>
    </w:p>
    <w:tbl>
      <w:tblPr>
        <w:tblW w:w="10468" w:type="dxa"/>
        <w:tblInd w:w="-579" w:type="dxa"/>
        <w:tblCellMar>
          <w:left w:w="10" w:type="dxa"/>
          <w:right w:w="10" w:type="dxa"/>
        </w:tblCellMar>
        <w:tblLook w:val="0000" w:firstRow="0" w:lastRow="0" w:firstColumn="0" w:lastColumn="0" w:noHBand="0" w:noVBand="0"/>
      </w:tblPr>
      <w:tblGrid>
        <w:gridCol w:w="2586"/>
        <w:gridCol w:w="7882"/>
      </w:tblGrid>
      <w:tr w:rsidR="00A90768" w:rsidRPr="004558D7" w14:paraId="0B6A844D"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DCB02"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Administrator Danych</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1E75E" w14:textId="77777777" w:rsidR="00A90768" w:rsidRPr="00BE3259" w:rsidRDefault="00A90768" w:rsidP="00787E69">
            <w:pPr>
              <w:rPr>
                <w:rFonts w:cs="Calibri"/>
                <w:lang w:eastAsia="ar-SA"/>
              </w:rPr>
            </w:pPr>
            <w:r w:rsidRPr="00BE3259">
              <w:rPr>
                <w:rFonts w:cs="Calibri"/>
                <w:lang w:eastAsia="ar-SA"/>
              </w:rPr>
              <w:t>Administratorem Pani/Pana danych osobowych jest:</w:t>
            </w:r>
          </w:p>
          <w:p w14:paraId="62C5BA3E" w14:textId="77777777" w:rsidR="00A90768" w:rsidRPr="00BE3259" w:rsidRDefault="00A90768" w:rsidP="00787E69">
            <w:pPr>
              <w:rPr>
                <w:rFonts w:cs="Calibri"/>
                <w:b/>
                <w:bCs/>
                <w:lang w:eastAsia="ar-SA"/>
              </w:rPr>
            </w:pPr>
            <w:r w:rsidRPr="00BE3259">
              <w:rPr>
                <w:rFonts w:cs="Calibri"/>
                <w:b/>
                <w:bCs/>
                <w:lang w:eastAsia="ar-SA"/>
              </w:rPr>
              <w:t>Urząd Miasta i Gminy Międzybórz</w:t>
            </w:r>
            <w:r w:rsidRPr="00BE3259">
              <w:rPr>
                <w:rFonts w:cs="Calibri"/>
                <w:b/>
                <w:bCs/>
                <w:lang w:eastAsia="ar-SA"/>
              </w:rPr>
              <w:br/>
              <w:t>ul. Kolejowa 13</w:t>
            </w:r>
          </w:p>
          <w:p w14:paraId="5686C619" w14:textId="77777777" w:rsidR="00A90768" w:rsidRPr="00BE3259" w:rsidRDefault="00A90768" w:rsidP="00787E69">
            <w:pPr>
              <w:rPr>
                <w:rFonts w:cs="Calibri"/>
                <w:b/>
                <w:bCs/>
                <w:lang w:eastAsia="ar-SA"/>
              </w:rPr>
            </w:pPr>
            <w:r w:rsidRPr="00BE3259">
              <w:rPr>
                <w:rFonts w:cs="Calibri"/>
                <w:b/>
                <w:bCs/>
                <w:lang w:eastAsia="ar-SA"/>
              </w:rPr>
              <w:t>56-513 Międzybórz</w:t>
            </w:r>
          </w:p>
        </w:tc>
      </w:tr>
      <w:tr w:rsidR="00A90768" w:rsidRPr="00F77422" w14:paraId="647D07C3"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241F0"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Dane kontaktowe</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83E00" w14:textId="77777777" w:rsidR="00A90768" w:rsidRPr="00BE3259" w:rsidRDefault="00A90768" w:rsidP="00787E69">
            <w:pPr>
              <w:rPr>
                <w:rFonts w:cs="Calibri"/>
                <w:lang w:eastAsia="ar-SA"/>
              </w:rPr>
            </w:pPr>
            <w:r w:rsidRPr="00BE3259">
              <w:rPr>
                <w:rFonts w:cs="Calibri"/>
                <w:lang w:eastAsia="ar-SA"/>
              </w:rPr>
              <w:t>Z AD można się skontaktować:</w:t>
            </w:r>
          </w:p>
          <w:p w14:paraId="19BF471E" w14:textId="77777777" w:rsidR="00A90768" w:rsidRPr="005D5A17" w:rsidRDefault="00A90768" w:rsidP="00787E69">
            <w:pPr>
              <w:rPr>
                <w:rFonts w:cs="Calibri"/>
                <w:lang w:val="en-US" w:eastAsia="ar-SA"/>
              </w:rPr>
            </w:pPr>
            <w:r w:rsidRPr="005D5A17">
              <w:rPr>
                <w:rFonts w:cs="Calibri"/>
                <w:lang w:val="en-US" w:eastAsia="ar-SA"/>
              </w:rPr>
              <w:t>tel.: </w:t>
            </w:r>
            <w:hyperlink r:id="rId5" w:tooltip="zadzwoń" w:history="1">
              <w:r w:rsidRPr="005D5A17">
                <w:rPr>
                  <w:rFonts w:cs="Calibri"/>
                  <w:lang w:val="en-US" w:eastAsia="ar-SA"/>
                </w:rPr>
                <w:t>+48 62 78 56 019</w:t>
              </w:r>
            </w:hyperlink>
          </w:p>
          <w:p w14:paraId="5A17F774" w14:textId="77777777" w:rsidR="00A90768" w:rsidRPr="005D5A17" w:rsidRDefault="00A90768" w:rsidP="00787E69">
            <w:pPr>
              <w:tabs>
                <w:tab w:val="left" w:pos="310"/>
              </w:tabs>
              <w:rPr>
                <w:rFonts w:cs="Calibri"/>
                <w:lang w:val="en-US" w:eastAsia="ar-SA"/>
              </w:rPr>
            </w:pPr>
            <w:r w:rsidRPr="005D5A17">
              <w:rPr>
                <w:rFonts w:cs="Calibri"/>
                <w:lang w:val="en-US" w:eastAsia="ar-SA"/>
              </w:rPr>
              <w:t>e-mail: </w:t>
            </w:r>
            <w:hyperlink r:id="rId6" w:history="1">
              <w:r w:rsidRPr="005D5A17">
                <w:rPr>
                  <w:rFonts w:cs="Calibri"/>
                  <w:lang w:val="en-US" w:eastAsia="ar-SA"/>
                </w:rPr>
                <w:t>umig@miedzyborz.pl</w:t>
              </w:r>
            </w:hyperlink>
          </w:p>
        </w:tc>
      </w:tr>
      <w:tr w:rsidR="00A90768" w:rsidRPr="004558D7" w14:paraId="253953ED"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FAFE3"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Inspektor Ochrony Danych</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B6E75" w14:textId="77777777" w:rsidR="00A90768" w:rsidRPr="00BE3259" w:rsidRDefault="00A90768" w:rsidP="00787E69">
            <w:pPr>
              <w:rPr>
                <w:rFonts w:cs="Calibri"/>
                <w:b/>
                <w:bCs/>
              </w:rPr>
            </w:pPr>
            <w:r w:rsidRPr="00BE3259">
              <w:rPr>
                <w:rFonts w:cs="Calibri"/>
                <w:lang w:eastAsia="ar-SA"/>
              </w:rPr>
              <w:t xml:space="preserve">Naszym IOD jest mgr inż. Sebastian KOPACKI – </w:t>
            </w:r>
            <w:hyperlink r:id="rId7" w:history="1">
              <w:r w:rsidRPr="00BE3259">
                <w:rPr>
                  <w:rFonts w:cs="Calibri"/>
                  <w:lang w:eastAsia="ar-SA"/>
                </w:rPr>
                <w:t>inspektor@miedzyborz.pl</w:t>
              </w:r>
            </w:hyperlink>
          </w:p>
        </w:tc>
      </w:tr>
      <w:tr w:rsidR="00A90768" w:rsidRPr="00BE3259" w14:paraId="069F33C6"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56146"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 xml:space="preserve">Cele przetwarzania oraz podstawa prawna </w:t>
            </w:r>
          </w:p>
          <w:p w14:paraId="1D817A6C"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przetwarzania</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2395C" w14:textId="77777777" w:rsidR="00A90768" w:rsidRPr="00BE3259" w:rsidRDefault="00A90768" w:rsidP="00787E69">
            <w:pPr>
              <w:suppressAutoHyphens/>
              <w:autoSpaceDN w:val="0"/>
              <w:ind w:left="389"/>
              <w:contextualSpacing/>
              <w:textAlignment w:val="baseline"/>
              <w:rPr>
                <w:rFonts w:cs="Calibri"/>
                <w:lang w:eastAsia="ar-SA"/>
              </w:rPr>
            </w:pPr>
            <w:r w:rsidRPr="00BE3259">
              <w:rPr>
                <w:rFonts w:eastAsia="SimSun"/>
                <w:color w:val="000000"/>
                <w:lang w:val="cs-CZ" w:eastAsia="zh-CN"/>
              </w:rPr>
              <w:t xml:space="preserve">Ustawa z dnia </w:t>
            </w:r>
            <w:r>
              <w:rPr>
                <w:rFonts w:eastAsia="SimSun"/>
                <w:color w:val="000000"/>
                <w:lang w:val="cs-CZ" w:eastAsia="zh-CN"/>
              </w:rPr>
              <w:t>24 kwietnia 2003 r. o działalnoś</w:t>
            </w:r>
            <w:r w:rsidRPr="00BE3259">
              <w:rPr>
                <w:rFonts w:eastAsia="SimSun"/>
                <w:color w:val="000000"/>
                <w:lang w:val="cs-CZ" w:eastAsia="zh-CN"/>
              </w:rPr>
              <w:t>ci pożytku publicznego i</w:t>
            </w:r>
            <w:r>
              <w:rPr>
                <w:rFonts w:eastAsia="SimSun"/>
                <w:color w:val="000000"/>
                <w:lang w:val="cs-CZ" w:eastAsia="zh-CN"/>
              </w:rPr>
              <w:t xml:space="preserve"> o wolontariacie  (</w:t>
            </w:r>
            <w:r>
              <w:t xml:space="preserve"> t. j. Dz. U. z 2025 poz. 1338 z </w:t>
            </w:r>
            <w:proofErr w:type="spellStart"/>
            <w:r>
              <w:t>późń</w:t>
            </w:r>
            <w:proofErr w:type="spellEnd"/>
            <w:r>
              <w:t xml:space="preserve">. </w:t>
            </w:r>
            <w:proofErr w:type="spellStart"/>
            <w:r>
              <w:t>zm</w:t>
            </w:r>
            <w:proofErr w:type="spellEnd"/>
            <w:r>
              <w:t>)</w:t>
            </w:r>
            <w:r w:rsidRPr="00BE3259">
              <w:rPr>
                <w:rFonts w:eastAsia="SimSun"/>
                <w:color w:val="000000"/>
                <w:lang w:val="cs-CZ" w:eastAsia="zh-CN"/>
              </w:rPr>
              <w:t xml:space="preserve"> </w:t>
            </w:r>
          </w:p>
        </w:tc>
      </w:tr>
      <w:tr w:rsidR="00A90768" w:rsidRPr="00BE3259" w14:paraId="636E8BA4"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1F2FF"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Okres, przez który będą przetwarzane</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DFBB" w14:textId="77777777" w:rsidR="00A90768" w:rsidRPr="00BE3259" w:rsidRDefault="00A90768" w:rsidP="00787E69">
            <w:pPr>
              <w:tabs>
                <w:tab w:val="left" w:pos="29"/>
              </w:tabs>
              <w:suppressAutoHyphens/>
              <w:autoSpaceDN w:val="0"/>
              <w:ind w:left="29"/>
              <w:jc w:val="both"/>
              <w:textAlignment w:val="baseline"/>
              <w:rPr>
                <w:rFonts w:cs="Calibri"/>
                <w:lang w:eastAsia="ar-SA"/>
              </w:rPr>
            </w:pPr>
            <w:r w:rsidRPr="00BE3259">
              <w:rPr>
                <w:rFonts w:cs="Calibri"/>
                <w:lang w:eastAsia="ar-SA"/>
              </w:rPr>
              <w:t xml:space="preserve">Pani/Pana dane osobowe będą: </w:t>
            </w:r>
          </w:p>
          <w:p w14:paraId="114ABA2A" w14:textId="77777777" w:rsidR="00A90768" w:rsidRPr="00BE3259" w:rsidRDefault="00A90768" w:rsidP="00A90768">
            <w:pPr>
              <w:numPr>
                <w:ilvl w:val="0"/>
                <w:numId w:val="2"/>
              </w:numPr>
              <w:suppressAutoHyphens/>
              <w:autoSpaceDN w:val="0"/>
              <w:spacing w:after="0" w:line="240" w:lineRule="auto"/>
              <w:contextualSpacing/>
              <w:jc w:val="both"/>
              <w:textAlignment w:val="baseline"/>
              <w:rPr>
                <w:rFonts w:cs="Calibri"/>
                <w:lang w:eastAsia="ar-SA"/>
              </w:rPr>
            </w:pPr>
            <w:r w:rsidRPr="00BE3259">
              <w:rPr>
                <w:rFonts w:cs="Calibri"/>
                <w:lang w:eastAsia="ar-SA"/>
              </w:rPr>
              <w:t>przetwarzane w celu przygotowania i wykonania umowy przez okres niezbędny do dokonania czynności związanych z przygotowaniem umowy oraz w okresie jej trwania,</w:t>
            </w:r>
          </w:p>
          <w:p w14:paraId="7AD49DB1" w14:textId="77777777" w:rsidR="00A90768" w:rsidRPr="00BE3259" w:rsidRDefault="00A90768" w:rsidP="00A90768">
            <w:pPr>
              <w:numPr>
                <w:ilvl w:val="0"/>
                <w:numId w:val="2"/>
              </w:numPr>
              <w:suppressAutoHyphens/>
              <w:autoSpaceDN w:val="0"/>
              <w:spacing w:after="0" w:line="240" w:lineRule="auto"/>
              <w:contextualSpacing/>
              <w:jc w:val="both"/>
              <w:textAlignment w:val="baseline"/>
              <w:rPr>
                <w:rFonts w:cs="Calibri"/>
                <w:lang w:eastAsia="ar-SA"/>
              </w:rPr>
            </w:pPr>
            <w:r w:rsidRPr="00BE3259">
              <w:rPr>
                <w:rFonts w:cs="Calibri"/>
                <w:lang w:eastAsia="ar-SA"/>
              </w:rPr>
              <w:t>przez okres wskazany przepisami „Ustawy - O podatku od towarów i usług” oraz przepisami „Ustawy - Ordynacja podatkowa”,</w:t>
            </w:r>
          </w:p>
          <w:p w14:paraId="49B29798" w14:textId="77777777" w:rsidR="00A90768" w:rsidRPr="00BE3259" w:rsidRDefault="00A90768" w:rsidP="00A90768">
            <w:pPr>
              <w:numPr>
                <w:ilvl w:val="0"/>
                <w:numId w:val="2"/>
              </w:numPr>
              <w:suppressAutoHyphens/>
              <w:autoSpaceDN w:val="0"/>
              <w:spacing w:after="0" w:line="240" w:lineRule="auto"/>
              <w:contextualSpacing/>
              <w:jc w:val="both"/>
              <w:textAlignment w:val="baseline"/>
              <w:rPr>
                <w:rFonts w:cs="Calibri"/>
                <w:lang w:eastAsia="ar-SA"/>
              </w:rPr>
            </w:pPr>
            <w:r w:rsidRPr="00BE3259">
              <w:rPr>
                <w:rFonts w:cs="Calibri"/>
                <w:lang w:eastAsia="ar-SA"/>
              </w:rPr>
              <w:t>przetwarzane w celu ustalenia lub dochodzenia roszczeń lub obronie przed roszczeniami przez okres wskazany w Ustawie - Kodeks cywilny.</w:t>
            </w:r>
          </w:p>
        </w:tc>
      </w:tr>
      <w:tr w:rsidR="00A90768" w:rsidRPr="00BE3259" w14:paraId="02082F6F"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00239"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Odbiorcy danych</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210E8" w14:textId="77777777" w:rsidR="00A90768" w:rsidRPr="00BE3259" w:rsidRDefault="00A90768" w:rsidP="00787E69">
            <w:pPr>
              <w:suppressAutoHyphens/>
              <w:autoSpaceDN w:val="0"/>
              <w:ind w:left="29"/>
              <w:jc w:val="both"/>
              <w:textAlignment w:val="baseline"/>
              <w:rPr>
                <w:rFonts w:cs="Calibri"/>
                <w:lang w:eastAsia="ar-SA"/>
              </w:rPr>
            </w:pPr>
            <w:r w:rsidRPr="00BE3259">
              <w:rPr>
                <w:rFonts w:cs="Calibri"/>
                <w:lang w:eastAsia="ar-SA"/>
              </w:rPr>
              <w:t>Odbiorcami Pani/Pana danych osobowych mogą być:</w:t>
            </w:r>
          </w:p>
          <w:p w14:paraId="3A9F8A12" w14:textId="77777777" w:rsidR="00A90768" w:rsidRPr="00BE3259" w:rsidRDefault="00A90768" w:rsidP="00A90768">
            <w:pPr>
              <w:numPr>
                <w:ilvl w:val="0"/>
                <w:numId w:val="1"/>
              </w:numPr>
              <w:suppressAutoHyphens/>
              <w:autoSpaceDN w:val="0"/>
              <w:spacing w:after="0" w:line="240" w:lineRule="auto"/>
              <w:contextualSpacing/>
              <w:jc w:val="both"/>
              <w:textAlignment w:val="baseline"/>
              <w:rPr>
                <w:rFonts w:cs="Calibri"/>
                <w:lang w:eastAsia="ar-SA"/>
              </w:rPr>
            </w:pPr>
            <w:r w:rsidRPr="00BE3259">
              <w:rPr>
                <w:rFonts w:cs="Calibri"/>
                <w:lang w:eastAsia="ar-SA"/>
              </w:rPr>
              <w:t>podmioty, którym AD udostępnia dane osobowe na podstawie przepisów prawa powszechnie obowiązującego,</w:t>
            </w:r>
          </w:p>
          <w:p w14:paraId="15809CB3" w14:textId="77777777" w:rsidR="00A90768" w:rsidRPr="00BE3259" w:rsidRDefault="00A90768" w:rsidP="00A90768">
            <w:pPr>
              <w:numPr>
                <w:ilvl w:val="0"/>
                <w:numId w:val="1"/>
              </w:numPr>
              <w:suppressAutoHyphens/>
              <w:autoSpaceDN w:val="0"/>
              <w:spacing w:after="0" w:line="240" w:lineRule="auto"/>
              <w:contextualSpacing/>
              <w:jc w:val="both"/>
              <w:textAlignment w:val="baseline"/>
              <w:rPr>
                <w:rFonts w:cs="Calibri"/>
              </w:rPr>
            </w:pPr>
            <w:r w:rsidRPr="00BE3259">
              <w:rPr>
                <w:rFonts w:cs="Calibri"/>
                <w:lang w:eastAsia="ar-SA"/>
              </w:rPr>
              <w:t>podmioty którym AD powierza dane osobowe na podstawie umów powierzenia danych osobowych.</w:t>
            </w:r>
          </w:p>
        </w:tc>
      </w:tr>
      <w:tr w:rsidR="00A90768" w:rsidRPr="00BE3259" w14:paraId="6CE53ECF"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075D7"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t>Prawa osoby, której dane dotyczą</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57BA6" w14:textId="77777777" w:rsidR="00A90768" w:rsidRPr="00BE3259" w:rsidRDefault="00A90768" w:rsidP="00787E69">
            <w:pPr>
              <w:tabs>
                <w:tab w:val="left" w:pos="2410"/>
              </w:tabs>
              <w:suppressAutoHyphens/>
              <w:autoSpaceDN w:val="0"/>
              <w:jc w:val="both"/>
              <w:textAlignment w:val="baseline"/>
              <w:rPr>
                <w:rFonts w:cs="Calibri"/>
                <w:lang w:eastAsia="ar-SA"/>
              </w:rPr>
            </w:pPr>
            <w:r w:rsidRPr="00BE3259">
              <w:rPr>
                <w:rFonts w:cs="Calibri"/>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w:t>
            </w:r>
            <w:r w:rsidRPr="00BE3259">
              <w:rPr>
                <w:rFonts w:cs="Calibri"/>
                <w:lang w:eastAsia="ar-SA"/>
              </w:rPr>
              <w:lastRenderedPageBreak/>
              <w:t xml:space="preserve">dokonano na podstawie zgody przed jej cofnięciem. Przysługuje Pani/Panu prawo wniesienia skargi do </w:t>
            </w:r>
            <w:r w:rsidRPr="00BE3259">
              <w:rPr>
                <w:rFonts w:cs="Calibri"/>
                <w:b/>
                <w:bCs/>
                <w:lang w:eastAsia="ar-SA"/>
              </w:rPr>
              <w:t>Urzędu Ochrony Danych Osobowych.</w:t>
            </w:r>
          </w:p>
        </w:tc>
      </w:tr>
      <w:tr w:rsidR="00A90768" w:rsidRPr="00BE3259" w14:paraId="31B61CF6" w14:textId="77777777" w:rsidTr="00787E69">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76B2F" w14:textId="77777777" w:rsidR="00A90768" w:rsidRPr="00BE3259" w:rsidRDefault="00A90768" w:rsidP="00787E69">
            <w:pPr>
              <w:suppressAutoHyphens/>
              <w:autoSpaceDN w:val="0"/>
              <w:jc w:val="center"/>
              <w:textAlignment w:val="baseline"/>
              <w:rPr>
                <w:rFonts w:cs="Calibri"/>
                <w:b/>
                <w:lang w:eastAsia="ar-SA"/>
              </w:rPr>
            </w:pPr>
            <w:r w:rsidRPr="00BE3259">
              <w:rPr>
                <w:rFonts w:cs="Calibri"/>
                <w:b/>
                <w:lang w:eastAsia="ar-SA"/>
              </w:rPr>
              <w:lastRenderedPageBreak/>
              <w:t>Dodatkowe informacje</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7B7C5" w14:textId="77777777" w:rsidR="00A90768" w:rsidRPr="00BE3259" w:rsidRDefault="00A90768" w:rsidP="00787E69">
            <w:pPr>
              <w:tabs>
                <w:tab w:val="left" w:pos="2410"/>
              </w:tabs>
              <w:suppressAutoHyphens/>
              <w:autoSpaceDN w:val="0"/>
              <w:jc w:val="both"/>
              <w:textAlignment w:val="baseline"/>
              <w:rPr>
                <w:rFonts w:cs="Calibri"/>
                <w:lang w:eastAsia="ar-SA"/>
              </w:rPr>
            </w:pPr>
            <w:r w:rsidRPr="00BE3259">
              <w:rPr>
                <w:rFonts w:cs="Calibri"/>
                <w:lang w:eastAsia="ar-SA"/>
              </w:rPr>
              <w:t>Podanie Pani/Pana danych osobowych jest dobrowolne.</w:t>
            </w:r>
          </w:p>
          <w:p w14:paraId="4EE20EA1" w14:textId="77777777" w:rsidR="00A90768" w:rsidRPr="00BE3259" w:rsidRDefault="00A90768" w:rsidP="00787E69">
            <w:pPr>
              <w:tabs>
                <w:tab w:val="left" w:pos="2410"/>
              </w:tabs>
              <w:suppressAutoHyphens/>
              <w:autoSpaceDN w:val="0"/>
              <w:jc w:val="both"/>
              <w:textAlignment w:val="baseline"/>
              <w:rPr>
                <w:rFonts w:cs="Calibri"/>
                <w:lang w:eastAsia="ar-SA"/>
              </w:rPr>
            </w:pPr>
            <w:r w:rsidRPr="00BE3259">
              <w:rPr>
                <w:rFonts w:cs="Calibri"/>
                <w:lang w:eastAsia="ar-SA"/>
              </w:rPr>
              <w:t xml:space="preserve">Podanie Pani/Pana danych osobowych jest warunkiem koniecznym zawarcia </w:t>
            </w:r>
            <w:r>
              <w:rPr>
                <w:rFonts w:cs="Calibri"/>
                <w:lang w:eastAsia="ar-SA"/>
              </w:rPr>
              <w:t xml:space="preserve">                          </w:t>
            </w:r>
            <w:r w:rsidRPr="00BE3259">
              <w:rPr>
                <w:rFonts w:cs="Calibri"/>
                <w:lang w:eastAsia="ar-SA"/>
              </w:rPr>
              <w:t>i realizacji umowy, zgodnie z przepisami powszechnie obowiązującego prawa.</w:t>
            </w:r>
          </w:p>
          <w:p w14:paraId="51581F50" w14:textId="77777777" w:rsidR="00A90768" w:rsidRPr="00BE3259" w:rsidRDefault="00A90768" w:rsidP="00787E69">
            <w:pPr>
              <w:tabs>
                <w:tab w:val="left" w:pos="2410"/>
              </w:tabs>
              <w:suppressAutoHyphens/>
              <w:autoSpaceDN w:val="0"/>
              <w:jc w:val="both"/>
              <w:textAlignment w:val="baseline"/>
              <w:rPr>
                <w:rFonts w:cs="Calibri"/>
                <w:lang w:eastAsia="ar-SA"/>
              </w:rPr>
            </w:pPr>
            <w:r w:rsidRPr="00BE3259">
              <w:rPr>
                <w:rFonts w:cs="Calibri"/>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3CB61E53" w14:textId="77777777" w:rsidR="00A90768" w:rsidRPr="00BE3259" w:rsidRDefault="00A90768" w:rsidP="00787E69">
            <w:pPr>
              <w:tabs>
                <w:tab w:val="left" w:pos="2410"/>
              </w:tabs>
              <w:suppressAutoHyphens/>
              <w:autoSpaceDN w:val="0"/>
              <w:jc w:val="both"/>
              <w:textAlignment w:val="baseline"/>
              <w:rPr>
                <w:rFonts w:cs="Calibri"/>
                <w:lang w:eastAsia="ar-SA"/>
              </w:rPr>
            </w:pPr>
            <w:r w:rsidRPr="00BE3259">
              <w:rPr>
                <w:rFonts w:cs="Calibri"/>
                <w:lang w:eastAsia="ar-SA"/>
              </w:rPr>
              <w:t>Więcej informacji na temat przetwarzania przez Nas Państwa danych osobowych można znaleźć na stronie www Urzędu.</w:t>
            </w:r>
          </w:p>
        </w:tc>
      </w:tr>
    </w:tbl>
    <w:p w14:paraId="3281D5CC" w14:textId="77777777" w:rsidR="00A90768" w:rsidRPr="00564AD4" w:rsidRDefault="00A90768" w:rsidP="00A90768">
      <w:pPr>
        <w:autoSpaceDE w:val="0"/>
        <w:autoSpaceDN w:val="0"/>
        <w:adjustRightInd w:val="0"/>
        <w:spacing w:after="0"/>
        <w:rPr>
          <w:rFonts w:ascii="Times New Roman" w:eastAsia="Times New Roman" w:hAnsi="Times New Roman"/>
          <w:sz w:val="24"/>
          <w:szCs w:val="24"/>
          <w:lang w:eastAsia="pl-PL"/>
        </w:rPr>
      </w:pPr>
    </w:p>
    <w:p w14:paraId="5C751557" w14:textId="77777777" w:rsidR="00FA3BBC" w:rsidRDefault="00FA3BBC"/>
    <w:sectPr w:rsidR="00FA3BBC" w:rsidSect="00A90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1160122223">
    <w:abstractNumId w:val="0"/>
  </w:num>
  <w:num w:numId="2" w16cid:durableId="171731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68"/>
    <w:rsid w:val="004D0400"/>
    <w:rsid w:val="00A90768"/>
    <w:rsid w:val="00B962D4"/>
    <w:rsid w:val="00C1744D"/>
    <w:rsid w:val="00FA3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2860"/>
  <w15:chartTrackingRefBased/>
  <w15:docId w15:val="{3AD45584-E62B-46D5-BF97-036E73B3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0768"/>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A907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907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9076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9076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9076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9076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076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076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076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076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9076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9076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9076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9076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9076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076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076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0768"/>
    <w:rPr>
      <w:rFonts w:eastAsiaTheme="majorEastAsia" w:cstheme="majorBidi"/>
      <w:color w:val="272727" w:themeColor="text1" w:themeTint="D8"/>
    </w:rPr>
  </w:style>
  <w:style w:type="paragraph" w:styleId="Tytu">
    <w:name w:val="Title"/>
    <w:basedOn w:val="Normalny"/>
    <w:next w:val="Normalny"/>
    <w:link w:val="TytuZnak"/>
    <w:uiPriority w:val="10"/>
    <w:qFormat/>
    <w:rsid w:val="00A90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076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076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076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0768"/>
    <w:pPr>
      <w:spacing w:before="160"/>
      <w:jc w:val="center"/>
    </w:pPr>
    <w:rPr>
      <w:i/>
      <w:iCs/>
      <w:color w:val="404040" w:themeColor="text1" w:themeTint="BF"/>
    </w:rPr>
  </w:style>
  <w:style w:type="character" w:customStyle="1" w:styleId="CytatZnak">
    <w:name w:val="Cytat Znak"/>
    <w:basedOn w:val="Domylnaczcionkaakapitu"/>
    <w:link w:val="Cytat"/>
    <w:uiPriority w:val="29"/>
    <w:rsid w:val="00A90768"/>
    <w:rPr>
      <w:i/>
      <w:iCs/>
      <w:color w:val="404040" w:themeColor="text1" w:themeTint="BF"/>
    </w:rPr>
  </w:style>
  <w:style w:type="paragraph" w:styleId="Akapitzlist">
    <w:name w:val="List Paragraph"/>
    <w:basedOn w:val="Normalny"/>
    <w:uiPriority w:val="34"/>
    <w:qFormat/>
    <w:rsid w:val="00A90768"/>
    <w:pPr>
      <w:ind w:left="720"/>
      <w:contextualSpacing/>
    </w:pPr>
  </w:style>
  <w:style w:type="character" w:styleId="Wyrnienieintensywne">
    <w:name w:val="Intense Emphasis"/>
    <w:basedOn w:val="Domylnaczcionkaakapitu"/>
    <w:uiPriority w:val="21"/>
    <w:qFormat/>
    <w:rsid w:val="00A90768"/>
    <w:rPr>
      <w:i/>
      <w:iCs/>
      <w:color w:val="2F5496" w:themeColor="accent1" w:themeShade="BF"/>
    </w:rPr>
  </w:style>
  <w:style w:type="paragraph" w:styleId="Cytatintensywny">
    <w:name w:val="Intense Quote"/>
    <w:basedOn w:val="Normalny"/>
    <w:next w:val="Normalny"/>
    <w:link w:val="CytatintensywnyZnak"/>
    <w:uiPriority w:val="30"/>
    <w:qFormat/>
    <w:rsid w:val="00A90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90768"/>
    <w:rPr>
      <w:i/>
      <w:iCs/>
      <w:color w:val="2F5496" w:themeColor="accent1" w:themeShade="BF"/>
    </w:rPr>
  </w:style>
  <w:style w:type="character" w:styleId="Odwoanieintensywne">
    <w:name w:val="Intense Reference"/>
    <w:basedOn w:val="Domylnaczcionkaakapitu"/>
    <w:uiPriority w:val="32"/>
    <w:qFormat/>
    <w:rsid w:val="00A90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miedzybor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ig@miedzyborz.pl" TargetMode="External"/><Relationship Id="rId5" Type="http://schemas.openxmlformats.org/officeDocument/2006/relationships/hyperlink" Target="tel:+486278560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2670</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Nowak</dc:creator>
  <cp:keywords/>
  <dc:description/>
  <cp:lastModifiedBy>Daria Nowak</cp:lastModifiedBy>
  <cp:revision>1</cp:revision>
  <dcterms:created xsi:type="dcterms:W3CDTF">2026-06-17T12:30:00Z</dcterms:created>
  <dcterms:modified xsi:type="dcterms:W3CDTF">2026-06-17T12:31:00Z</dcterms:modified>
</cp:coreProperties>
</file>